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rPr>
      </w:pPr>
      <w:bookmarkStart w:colFirst="0" w:colLast="0" w:name="_5tkxuig2sql2" w:id="0"/>
      <w:bookmarkEnd w:id="0"/>
      <w:r w:rsidDel="00000000" w:rsidR="00000000" w:rsidRPr="00000000">
        <w:rPr>
          <w:b w:val="1"/>
          <w:rtl w:val="0"/>
        </w:rPr>
        <w:t xml:space="preserve">Raksasa pendidikan bertarung demi masa depan pembelajaran</w:t>
      </w:r>
    </w:p>
    <w:p w:rsidR="00000000" w:rsidDel="00000000" w:rsidP="00000000" w:rsidRDefault="00000000" w:rsidRPr="00000000" w14:paraId="00000002">
      <w:pPr>
        <w:spacing w:line="240" w:lineRule="auto"/>
        <w:jc w:val="center"/>
        <w:rPr>
          <w:b w:val="1"/>
        </w:rPr>
      </w:pPr>
      <w:r w:rsidDel="00000000" w:rsidR="00000000" w:rsidRPr="00000000">
        <w:rPr>
          <w:rtl w:val="0"/>
        </w:rPr>
      </w:r>
    </w:p>
    <w:p w:rsidR="00000000" w:rsidDel="00000000" w:rsidP="00000000" w:rsidRDefault="00000000" w:rsidRPr="00000000" w14:paraId="00000003">
      <w:pPr>
        <w:spacing w:line="240" w:lineRule="auto"/>
        <w:rPr>
          <w:rFonts w:ascii="Roboto Condensed" w:cs="Roboto Condensed" w:eastAsia="Roboto Condensed" w:hAnsi="Roboto Condensed"/>
          <w:color w:val="666666"/>
          <w:sz w:val="23"/>
          <w:szCs w:val="23"/>
          <w:shd w:fill="f8f7f7" w:val="clear"/>
        </w:rPr>
      </w:pPr>
      <w:r w:rsidDel="00000000" w:rsidR="00000000" w:rsidRPr="00000000">
        <w:rPr>
          <w:rFonts w:ascii="Lora" w:cs="Lora" w:eastAsia="Lora" w:hAnsi="Lora"/>
          <w:b w:val="1"/>
          <w:i w:val="1"/>
          <w:color w:val="241f21"/>
          <w:sz w:val="24"/>
          <w:szCs w:val="24"/>
          <w:highlight w:val="white"/>
          <w:rtl w:val="0"/>
        </w:rPr>
        <w:t xml:space="preserve">Badan-badan global yang berpengaruh sedang memberikan pendapat mereka tentang masa depan pendidikan, dan hasilnya dapat membentuk ekonomi dan lingkungan selama beberapa generasi.</w:t>
      </w:r>
      <w:r w:rsidDel="00000000" w:rsidR="00000000" w:rsidRPr="00000000">
        <w:rPr>
          <w:rtl w:val="0"/>
        </w:rPr>
      </w:r>
    </w:p>
    <w:p w:rsidR="00000000" w:rsidDel="00000000" w:rsidP="00000000" w:rsidRDefault="00000000" w:rsidRPr="00000000" w14:paraId="00000004">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i w:val="1"/>
          <w:color w:val="241f21"/>
          <w:sz w:val="23"/>
          <w:szCs w:val="23"/>
          <w:shd w:fill="f8f7f7" w:val="clear"/>
          <w:rtl w:val="0"/>
        </w:rPr>
        <w:t xml:space="preserve">Seorang fotografer mengambil foto kelas siswa dan guru mereka, di stasiun Tokyo, Marunouchi, Jepang. oleh: Basile Morin</w:t>
      </w:r>
    </w:p>
    <w:p w:rsidR="00000000" w:rsidDel="00000000" w:rsidP="00000000" w:rsidRDefault="00000000" w:rsidRPr="00000000" w14:paraId="00000005">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6">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7">
      <w:pPr>
        <w:spacing w:line="240" w:lineRule="auto"/>
        <w:jc w:val="center"/>
        <w:rPr>
          <w:rFonts w:ascii="Roboto Condensed" w:cs="Roboto Condensed" w:eastAsia="Roboto Condensed" w:hAnsi="Roboto Condensed"/>
          <w:color w:val="666666"/>
          <w:sz w:val="18"/>
          <w:szCs w:val="18"/>
          <w:highlight w:val="white"/>
        </w:rPr>
      </w:pPr>
      <w:r w:rsidDel="00000000" w:rsidR="00000000" w:rsidRPr="00000000">
        <w:rPr>
          <w:rFonts w:ascii="Roboto Condensed" w:cs="Roboto Condensed" w:eastAsia="Roboto Condensed" w:hAnsi="Roboto Condensed"/>
          <w:color w:val="666666"/>
          <w:sz w:val="18"/>
          <w:szCs w:val="18"/>
          <w:highlight w:val="white"/>
          <w:rtl w:val="0"/>
        </w:rPr>
        <w:t xml:space="preserve">Published on April 11, 2022</w:t>
      </w:r>
    </w:p>
    <w:p w:rsidR="00000000" w:rsidDel="00000000" w:rsidP="00000000" w:rsidRDefault="00000000" w:rsidRPr="00000000" w14:paraId="00000008">
      <w:pPr>
        <w:spacing w:line="240" w:lineRule="auto"/>
        <w:rPr>
          <w:rFonts w:ascii="Roboto Condensed" w:cs="Roboto Condensed" w:eastAsia="Roboto Condensed" w:hAnsi="Roboto Condensed"/>
          <w:i w:val="1"/>
          <w:color w:val="241f21"/>
          <w:sz w:val="23"/>
          <w:szCs w:val="23"/>
          <w:shd w:fill="f8f7f7" w:val="clear"/>
        </w:rPr>
      </w:pPr>
      <w:r w:rsidDel="00000000" w:rsidR="00000000" w:rsidRPr="00000000">
        <w:rPr>
          <w:rtl w:val="0"/>
        </w:rPr>
      </w:r>
    </w:p>
    <w:p w:rsidR="00000000" w:rsidDel="00000000" w:rsidP="00000000" w:rsidRDefault="00000000" w:rsidRPr="00000000" w14:paraId="00000009">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Authors</w:t>
      </w:r>
    </w:p>
    <w:p w:rsidR="00000000" w:rsidDel="00000000" w:rsidP="00000000" w:rsidRDefault="00000000" w:rsidRPr="00000000" w14:paraId="0000000A">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Jason Beech</w:t>
      </w:r>
    </w:p>
    <w:p w:rsidR="00000000" w:rsidDel="00000000" w:rsidP="00000000" w:rsidRDefault="00000000" w:rsidRPr="00000000" w14:paraId="0000000B">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Monash University</w:t>
      </w:r>
    </w:p>
    <w:p w:rsidR="00000000" w:rsidDel="00000000" w:rsidP="00000000" w:rsidRDefault="00000000" w:rsidRPr="00000000" w14:paraId="0000000C">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Editors</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Sara Phillips</w:t>
      </w:r>
    </w:p>
    <w:p w:rsidR="00000000" w:rsidDel="00000000" w:rsidP="00000000" w:rsidRDefault="00000000" w:rsidRPr="00000000" w14:paraId="0000000E">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Sara Phillips, Senior Commissioning Editor, 360info Asia Pacific</w:t>
      </w:r>
    </w:p>
    <w:p w:rsidR="00000000" w:rsidDel="00000000" w:rsidP="00000000" w:rsidRDefault="00000000" w:rsidRPr="00000000" w14:paraId="0000000F">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10">
      <w:pPr>
        <w:spacing w:after="240" w:before="160" w:line="240" w:lineRule="auto"/>
        <w:rPr>
          <w:rFonts w:ascii="Roboto Condensed" w:cs="Roboto Condensed" w:eastAsia="Roboto Condensed" w:hAnsi="Roboto Condensed"/>
          <w:i w:val="1"/>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10.54377/5f60-8719</w:t>
      </w:r>
      <w:r w:rsidDel="00000000" w:rsidR="00000000" w:rsidRPr="00000000">
        <w:rPr>
          <w:rtl w:val="0"/>
        </w:rPr>
      </w:r>
    </w:p>
    <w:p w:rsidR="00000000" w:rsidDel="00000000" w:rsidP="00000000" w:rsidRDefault="00000000" w:rsidRPr="00000000" w14:paraId="0000001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hal pendidikan, umat manusia sedang menuju ke arah yang salah, demikian menurut laporan UNESCO. Komisi PBB untuk </w:t>
      </w:r>
      <w:hyperlink r:id="rId6">
        <w:r w:rsidDel="00000000" w:rsidR="00000000" w:rsidRPr="00000000">
          <w:rPr>
            <w:rFonts w:ascii="Lora" w:cs="Lora" w:eastAsia="Lora" w:hAnsi="Lora"/>
            <w:color w:val="0563c1"/>
            <w:sz w:val="24"/>
            <w:szCs w:val="24"/>
            <w:u w:val="single"/>
            <w:rtl w:val="0"/>
          </w:rPr>
          <w:t xml:space="preserve">Masa Depan Pendidikan</w:t>
        </w:r>
      </w:hyperlink>
      <w:r w:rsidDel="00000000" w:rsidR="00000000" w:rsidRPr="00000000">
        <w:rPr>
          <w:rFonts w:ascii="Lora" w:cs="Lora" w:eastAsia="Lora" w:hAnsi="Lora"/>
          <w:sz w:val="24"/>
          <w:szCs w:val="24"/>
          <w:rtl w:val="0"/>
        </w:rPr>
        <w:t xml:space="preserve"> telah menghidupkan kembali perdebatan tentang perlunya mereformasi kebijakan pendidikan global. Hal ini telah menimbulkan </w:t>
      </w:r>
      <w:hyperlink r:id="rId7">
        <w:r w:rsidDel="00000000" w:rsidR="00000000" w:rsidRPr="00000000">
          <w:rPr>
            <w:rFonts w:ascii="Lora" w:cs="Lora" w:eastAsia="Lora" w:hAnsi="Lora"/>
            <w:color w:val="0563c1"/>
            <w:sz w:val="24"/>
            <w:szCs w:val="24"/>
            <w:u w:val="single"/>
            <w:rtl w:val="0"/>
          </w:rPr>
          <w:t xml:space="preserve">perdebatan antara</w:t>
        </w:r>
      </w:hyperlink>
      <w:r w:rsidDel="00000000" w:rsidR="00000000" w:rsidRPr="00000000">
        <w:rPr>
          <w:rFonts w:ascii="Lora" w:cs="Lora" w:eastAsia="Lora" w:hAnsi="Lora"/>
          <w:sz w:val="24"/>
          <w:szCs w:val="24"/>
          <w:rtl w:val="0"/>
        </w:rPr>
        <w:t xml:space="preserve"> UNESCO dan Organisasi untuk Kerjasama Ekonomi dan Pembangunan (OECD) tentang hakikat pendidikan.</w:t>
      </w:r>
    </w:p>
    <w:p w:rsidR="00000000" w:rsidDel="00000000" w:rsidP="00000000" w:rsidRDefault="00000000" w:rsidRPr="00000000" w14:paraId="00000012">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Kedua organisasi tersebut mempunyai visi masing-masing tentang apa yang dimaksud dengan orang yang berpendidikan, dan bagaimana praktik pendidikan harus diatur, dibiayai, dan dievaluasi. Namun kedua organisasi tersebut tidak mewakili pandangan seluruh dunia.</w:t>
      </w:r>
    </w:p>
    <w:p w:rsidR="00000000" w:rsidDel="00000000" w:rsidP="00000000" w:rsidRDefault="00000000" w:rsidRPr="00000000" w14:paraId="00000013">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Yang mendasari setiap keputusan tentang apa yang harus diubah membutuhkan pemahaman penuh tentang individu dan masyarakat seperti apa yang ingin kita dukung. Laporan UNESCO mengusulkan bahwa pendidikan harus mendorong perubahan atas dasar nilai-nilai umum yang disepakati. Sementara itu, OECD telah </w:t>
      </w:r>
      <w:hyperlink r:id="rId8">
        <w:r w:rsidDel="00000000" w:rsidR="00000000" w:rsidRPr="00000000">
          <w:rPr>
            <w:rFonts w:ascii="Lora" w:cs="Lora" w:eastAsia="Lora" w:hAnsi="Lora"/>
            <w:color w:val="0563c1"/>
            <w:sz w:val="24"/>
            <w:szCs w:val="24"/>
            <w:u w:val="single"/>
            <w:rtl w:val="0"/>
          </w:rPr>
          <w:t xml:space="preserve">mengusulkan</w:t>
        </w:r>
      </w:hyperlink>
      <w:r w:rsidDel="00000000" w:rsidR="00000000" w:rsidRPr="00000000">
        <w:rPr>
          <w:rFonts w:ascii="Lora" w:cs="Lora" w:eastAsia="Lora" w:hAnsi="Lora"/>
          <w:sz w:val="24"/>
          <w:szCs w:val="24"/>
          <w:rtl w:val="0"/>
        </w:rPr>
        <w:t xml:space="preserve"> cara-cara untuk membuat sistem pendidikan lebih mudah beradaptasi dengan gangguan dan perubahan dengan menyarankan agar pendidikan dapat menjadi lebih dinamis, dan sistem pendidikan harus direformasi agar dapat mengikuti perubahan ekonomi yang diantisipasi oleh para pembuat kebijakan dengan lebih baik.</w:t>
      </w:r>
    </w:p>
    <w:p w:rsidR="00000000" w:rsidDel="00000000" w:rsidP="00000000" w:rsidRDefault="00000000" w:rsidRPr="00000000" w14:paraId="00000014">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OECD telah menjadi suara yang paling kuat dalam perdebatan global mengenai pendidikan sejak meluncurkan </w:t>
      </w:r>
      <w:hyperlink r:id="rId9">
        <w:r w:rsidDel="00000000" w:rsidR="00000000" w:rsidRPr="00000000">
          <w:rPr>
            <w:rFonts w:ascii="Lora" w:cs="Lora" w:eastAsia="Lora" w:hAnsi="Lora"/>
            <w:color w:val="0563c1"/>
            <w:sz w:val="24"/>
            <w:szCs w:val="24"/>
            <w:u w:val="single"/>
            <w:rtl w:val="0"/>
          </w:rPr>
          <w:t xml:space="preserve">Program Penilaian Siswa Internasional (PISA)</w:t>
        </w:r>
      </w:hyperlink>
      <w:r w:rsidDel="00000000" w:rsidR="00000000" w:rsidRPr="00000000">
        <w:rPr>
          <w:rFonts w:ascii="Lora" w:cs="Lora" w:eastAsia="Lora" w:hAnsi="Lora"/>
          <w:sz w:val="24"/>
          <w:szCs w:val="24"/>
          <w:rtl w:val="0"/>
        </w:rPr>
        <w:t xml:space="preserve"> pada tahun 2000.</w:t>
      </w:r>
    </w:p>
    <w:p w:rsidR="00000000" w:rsidDel="00000000" w:rsidP="00000000" w:rsidRDefault="00000000" w:rsidRPr="00000000" w14:paraId="00000015">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Setiap tiga tahun sekali, PISA menilai 600.000 siswa berusia 15 tahun melalui ujian yang dapat diperbandingkan secara global yang mengevaluasi sejauh mana anak-anak muda dipersiapkan untuk memasuki dunia kerja dalam 'ekonomi pengetahuan'.</w:t>
      </w:r>
    </w:p>
    <w:p w:rsidR="00000000" w:rsidDel="00000000" w:rsidP="00000000" w:rsidRDefault="00000000" w:rsidRPr="00000000" w14:paraId="00000016">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Berdasarkan hasil tersebut, OECD menerbitkan peringkat dari 79 negara yang berpartisipasi. Peringkat ini penting bagi para </w:t>
      </w:r>
      <w:hyperlink r:id="rId10">
        <w:r w:rsidDel="00000000" w:rsidR="00000000" w:rsidRPr="00000000">
          <w:rPr>
            <w:rFonts w:ascii="Lora" w:cs="Lora" w:eastAsia="Lora" w:hAnsi="Lora"/>
            <w:color w:val="0563c1"/>
            <w:sz w:val="24"/>
            <w:szCs w:val="24"/>
            <w:u w:val="single"/>
            <w:rtl w:val="0"/>
          </w:rPr>
          <w:t xml:space="preserve">pembuat kebijakan</w:t>
        </w:r>
      </w:hyperlink>
      <w:r w:rsidDel="00000000" w:rsidR="00000000" w:rsidRPr="00000000">
        <w:rPr>
          <w:rFonts w:ascii="Lora" w:cs="Lora" w:eastAsia="Lora" w:hAnsi="Lora"/>
          <w:sz w:val="24"/>
          <w:szCs w:val="24"/>
          <w:rtl w:val="0"/>
        </w:rPr>
        <w:t xml:space="preserve"> dan mempengaruhi </w:t>
      </w:r>
      <w:hyperlink r:id="rId11">
        <w:r w:rsidDel="00000000" w:rsidR="00000000" w:rsidRPr="00000000">
          <w:rPr>
            <w:rFonts w:ascii="Lora" w:cs="Lora" w:eastAsia="Lora" w:hAnsi="Lora"/>
            <w:color w:val="0563c1"/>
            <w:sz w:val="24"/>
            <w:szCs w:val="24"/>
            <w:u w:val="single"/>
            <w:rtl w:val="0"/>
          </w:rPr>
          <w:t xml:space="preserve">opini publik</w:t>
        </w:r>
      </w:hyperlink>
      <w:r w:rsidDel="00000000" w:rsidR="00000000" w:rsidRPr="00000000">
        <w:rPr>
          <w:rFonts w:ascii="Lora" w:cs="Lora" w:eastAsia="Lora" w:hAnsi="Lora"/>
          <w:sz w:val="24"/>
          <w:szCs w:val="24"/>
          <w:rtl w:val="0"/>
        </w:rPr>
        <w:t xml:space="preserve">. Hal ini juga menciptakan pandangan pendidikan yang berorientasi pada pasar dan individual.</w:t>
      </w:r>
    </w:p>
    <w:p w:rsidR="00000000" w:rsidDel="00000000" w:rsidP="00000000" w:rsidRDefault="00000000" w:rsidRPr="00000000" w14:paraId="00000017">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Bahkan UNESCO pun telah terserap ke dalam logika pasar, </w:t>
      </w:r>
      <w:hyperlink r:id="rId12">
        <w:r w:rsidDel="00000000" w:rsidR="00000000" w:rsidRPr="00000000">
          <w:rPr>
            <w:rFonts w:ascii="Lora" w:cs="Lora" w:eastAsia="Lora" w:hAnsi="Lora"/>
            <w:color w:val="0563c1"/>
            <w:sz w:val="24"/>
            <w:szCs w:val="24"/>
            <w:u w:val="single"/>
            <w:rtl w:val="0"/>
          </w:rPr>
          <w:t xml:space="preserve">menekankan</w:t>
        </w:r>
      </w:hyperlink>
      <w:r w:rsidDel="00000000" w:rsidR="00000000" w:rsidRPr="00000000">
        <w:rPr>
          <w:rFonts w:ascii="Lora" w:cs="Lora" w:eastAsia="Lora" w:hAnsi="Lora"/>
          <w:sz w:val="24"/>
          <w:szCs w:val="24"/>
          <w:rtl w:val="0"/>
        </w:rPr>
        <w:t xml:space="preserve"> konsep “pembelajaran seumur hidup” menjadi fokus pada keterampilan di tempat kerja.</w:t>
      </w:r>
    </w:p>
    <w:p w:rsidR="00000000" w:rsidDel="00000000" w:rsidP="00000000" w:rsidRDefault="00000000" w:rsidRPr="00000000" w14:paraId="00000018">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pengaruhnya berjalan dua arah: OECD telah melunakkan dasar pemikirannya yang sangat ekonomis, dengan menambahkan “</w:t>
      </w:r>
      <w:hyperlink r:id="rId13">
        <w:r w:rsidDel="00000000" w:rsidR="00000000" w:rsidRPr="00000000">
          <w:rPr>
            <w:rFonts w:ascii="Lora" w:cs="Lora" w:eastAsia="Lora" w:hAnsi="Lora"/>
            <w:color w:val="0563c1"/>
            <w:sz w:val="24"/>
            <w:szCs w:val="24"/>
            <w:u w:val="single"/>
            <w:rtl w:val="0"/>
          </w:rPr>
          <w:t xml:space="preserve">kompetensi global</w:t>
        </w:r>
      </w:hyperlink>
      <w:r w:rsidDel="00000000" w:rsidR="00000000" w:rsidRPr="00000000">
        <w:rPr>
          <w:rFonts w:ascii="Lora" w:cs="Lora" w:eastAsia="Lora" w:hAnsi="Lora"/>
          <w:sz w:val="24"/>
          <w:szCs w:val="24"/>
          <w:rtl w:val="0"/>
        </w:rPr>
        <w:t xml:space="preserve">” dalam penilaian PISA-nya, yang mengukur sifat-sifat seperti kemampuan anak-anak untuk terlibat “dengan orang-orang dari budaya yang berbeda, dan untuk bertindak demi kesejahteraan bersama dan pembangunan berkelanjutan”. Meskipun demikian, fokus pada “kompetensi global” </w:t>
      </w:r>
      <w:hyperlink r:id="rId14">
        <w:r w:rsidDel="00000000" w:rsidR="00000000" w:rsidRPr="00000000">
          <w:rPr>
            <w:rFonts w:ascii="Lora" w:cs="Lora" w:eastAsia="Lora" w:hAnsi="Lora"/>
            <w:color w:val="0563c1"/>
            <w:sz w:val="24"/>
            <w:szCs w:val="24"/>
            <w:u w:val="single"/>
            <w:rtl w:val="0"/>
          </w:rPr>
          <w:t xml:space="preserve">terutama tentang mempersiapkan pekerja</w:t>
        </w:r>
      </w:hyperlink>
      <w:r w:rsidDel="00000000" w:rsidR="00000000" w:rsidRPr="00000000">
        <w:rPr>
          <w:rFonts w:ascii="Lora" w:cs="Lora" w:eastAsia="Lora" w:hAnsi="Lora"/>
          <w:sz w:val="24"/>
          <w:szCs w:val="24"/>
          <w:rtl w:val="0"/>
        </w:rPr>
        <w:t xml:space="preserve"> untuk bekerja dengan sukses dalam tim multikultural, daripada mengembangkan pemahaman kontekstual yang lebih dalam tentang diskriminasi atau pendekatan non-Barat terhadap pengetahuan.</w:t>
      </w:r>
    </w:p>
    <w:p w:rsidR="00000000" w:rsidDel="00000000" w:rsidP="00000000" w:rsidRDefault="00000000" w:rsidRPr="00000000" w14:paraId="00000019">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OECD juga telah mulai mengukur kesejahteraan siswa, dengan membedakan antara sekolah yang “bahagia” dan “tidak bahagia”. Negara-negara Amerika Latin dan Eropa Utara ditemukan sebagai negara yang paling bahagia, sementara negara-negara seperti Jepang, Korea dan Cina mencatat tingkat kepuasan hidup yang paling rendah.</w:t>
      </w:r>
    </w:p>
    <w:p w:rsidR="00000000" w:rsidDel="00000000" w:rsidP="00000000" w:rsidRDefault="00000000" w:rsidRPr="00000000" w14:paraId="0000001A">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metode yang digunakan untuk mencatat kebahagiaan didasarkan pada perspektif Anglo-sentris yang individualistis. Di </w:t>
      </w:r>
      <w:hyperlink r:id="rId15">
        <w:r w:rsidDel="00000000" w:rsidR="00000000" w:rsidRPr="00000000">
          <w:rPr>
            <w:rFonts w:ascii="Lora" w:cs="Lora" w:eastAsia="Lora" w:hAnsi="Lora"/>
            <w:color w:val="0563c1"/>
            <w:sz w:val="24"/>
            <w:szCs w:val="24"/>
            <w:u w:val="single"/>
            <w:rtl w:val="0"/>
          </w:rPr>
          <w:t xml:space="preserve">beberapa masyarakat non-Barat</w:t>
        </w:r>
      </w:hyperlink>
      <w:r w:rsidDel="00000000" w:rsidR="00000000" w:rsidRPr="00000000">
        <w:rPr>
          <w:rFonts w:ascii="Lora" w:cs="Lora" w:eastAsia="Lora" w:hAnsi="Lora"/>
          <w:sz w:val="24"/>
          <w:szCs w:val="24"/>
          <w:rtl w:val="0"/>
        </w:rPr>
        <w:t xml:space="preserve">, kebahagiaan dan kepuasan bergantung pada kesejahteraan komunitas kolektif, bukan pada individu. Oleh karena itu, hasilnya tidak secara akurat membandingkan kebahagiaan siswa, tetapi dipengaruhi oleh berbagai cara siswa menafsirkan pertanyaan ujian.</w:t>
      </w:r>
    </w:p>
    <w:p w:rsidR="00000000" w:rsidDel="00000000" w:rsidP="00000000" w:rsidRDefault="00000000" w:rsidRPr="00000000" w14:paraId="0000001B">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Laporan terbaru UNESCO menegaskan kembali nilai-nilai humanis organisasi ini, yang tidak terlalu didasarkan pada pasar dan lebih pada konsep-konsep seperti penghormatan terhadap kehidupan, keadilan sosial, dan tanggung jawab bersama untuk masa depan bersama.</w:t>
      </w:r>
    </w:p>
    <w:p w:rsidR="00000000" w:rsidDel="00000000" w:rsidP="00000000" w:rsidRDefault="00000000" w:rsidRPr="00000000" w14:paraId="0000001C">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Laporan ini secara </w:t>
      </w:r>
      <w:hyperlink r:id="rId16">
        <w:r w:rsidDel="00000000" w:rsidR="00000000" w:rsidRPr="00000000">
          <w:rPr>
            <w:rFonts w:ascii="Lora" w:cs="Lora" w:eastAsia="Lora" w:hAnsi="Lora"/>
            <w:color w:val="0563c1"/>
            <w:sz w:val="24"/>
            <w:szCs w:val="24"/>
            <w:u w:val="single"/>
            <w:rtl w:val="0"/>
          </w:rPr>
          <w:t xml:space="preserve">eksplisit mengkritik</w:t>
        </w:r>
      </w:hyperlink>
      <w:r w:rsidDel="00000000" w:rsidR="00000000" w:rsidRPr="00000000">
        <w:rPr>
          <w:rFonts w:ascii="Lora" w:cs="Lora" w:eastAsia="Lora" w:hAnsi="Lora"/>
          <w:sz w:val="24"/>
          <w:szCs w:val="24"/>
          <w:rtl w:val="0"/>
        </w:rPr>
        <w:t xml:space="preserve"> penggunaan peringkat dan penilaian standar terhadap siswa yang mendorong persaingan, dan sebaliknya mempromosikan metode pengajaran yang menekankan solidaritas dan kolaborasi. Laporan ini juga </w:t>
      </w:r>
      <w:hyperlink r:id="rId17">
        <w:r w:rsidDel="00000000" w:rsidR="00000000" w:rsidRPr="00000000">
          <w:rPr>
            <w:rFonts w:ascii="Lora" w:cs="Lora" w:eastAsia="Lora" w:hAnsi="Lora"/>
            <w:color w:val="0563c1"/>
            <w:sz w:val="24"/>
            <w:szCs w:val="24"/>
            <w:u w:val="single"/>
            <w:rtl w:val="0"/>
          </w:rPr>
          <w:t xml:space="preserve">menyoroti pentingnya</w:t>
        </w:r>
      </w:hyperlink>
      <w:r w:rsidDel="00000000" w:rsidR="00000000" w:rsidRPr="00000000">
        <w:rPr>
          <w:rFonts w:ascii="Lora" w:cs="Lora" w:eastAsia="Lora" w:hAnsi="Lora"/>
          <w:sz w:val="24"/>
          <w:szCs w:val="24"/>
          <w:rtl w:val="0"/>
        </w:rPr>
        <w:t xml:space="preserve"> membuka sistem pendidikan untuk memasukkan pengetahuan adat.</w:t>
      </w:r>
    </w:p>
    <w:p w:rsidR="00000000" w:rsidDel="00000000" w:rsidP="00000000" w:rsidRDefault="00000000" w:rsidRPr="00000000" w14:paraId="0000001D">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UNESCO yang menyatakan bahwa umat manusia sedang menuju ke arah yang tidak benar, pemikiran ulang tentang cara dunia berbicara tentang pendidikan mungkin diperlukan untuk menempa jalan yang lebih adil dan berkelanjutan ke depan.</w:t>
      </w:r>
    </w:p>
    <w:p w:rsidR="00000000" w:rsidDel="00000000" w:rsidP="00000000" w:rsidRDefault="00000000" w:rsidRPr="00000000" w14:paraId="0000001E">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Hal ini mungkin lebih mudah diucapkan daripada dilakukan. Sebagai contoh, memperkenalkan metode pembelajaran kolaboratif merupakan tantangan besar dalam sistem pendidikan yang dirancang untuk mengelompokkan dan mengatur siswa berdasarkan kinerja individu.</w:t>
      </w:r>
    </w:p>
    <w:p w:rsidR="00000000" w:rsidDel="00000000" w:rsidP="00000000" w:rsidRDefault="00000000" w:rsidRPr="00000000" w14:paraId="0000001F">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Mengintegrasikan pengetahuan lokal ke dalam institusi yang telah menjadi penjaga sejarah pengetahuan Barat mungkin juga sulit. Sistem sekolah konvensional dikembangkan dengan meniru perkembangan ilmu pengetahuan Barat, yang bertujuan untuk mendidik siswa dalam “berpikir rasional”, sebuah tradisi Barat.</w:t>
      </w:r>
    </w:p>
    <w:p w:rsidR="00000000" w:rsidDel="00000000" w:rsidP="00000000" w:rsidRDefault="00000000" w:rsidRPr="00000000" w14:paraId="00000020">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Perdebatan ini menyoroti bagaimana pendidikan lebih dari sekadar mengajar dan belajar. Pendidikan memiliki kemampuan untuk membentuk masa depan dan pendekatan kita terhadap tantangan seperti perubahan iklim, ketidaksetaraan yang semakin meningkat, dan pandemi. Apakah generasi muda menghadapi tantangan tersebut secara kolektif atau individual; dalam kompetisi atau melalui kolaborasi, akan dipengaruhi oleh bagaimana dunia memandang pendidikan.</w:t>
      </w:r>
    </w:p>
    <w:p w:rsidR="00000000" w:rsidDel="00000000" w:rsidP="00000000" w:rsidRDefault="00000000" w:rsidRPr="00000000" w14:paraId="00000021">
      <w:pPr>
        <w:spacing w:after="240" w:before="240"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Jason Beech adalah dosen senior di bidang kebijakan pendidikan di Fakultas Pendidikan di Monash University. Sebelum bergabung dengan Monash, ia adalah profesor di School of Education di Universidad de San Andrés di Argentina. Saat ini beliau menjadi profesor tamu di San Andrés, di mana beliau juga menjabat sebagai direktur Unesco Chair dalam bidang Pendidikan untuk Kewarganegaraan dan Keberlanjutan Global. Beliau adalah associate editor dari Education Policy Analysis Archives, dan telah mengajar di beberapa universitas di Amerika, Eropa dan Australia. Dia menyatakan tidak memiliki konflik kepentingan. </w:t>
      </w:r>
    </w:p>
    <w:p w:rsidR="00000000" w:rsidDel="00000000" w:rsidP="00000000" w:rsidRDefault="00000000" w:rsidRPr="00000000" w14:paraId="00000022">
      <w:pPr>
        <w:rPr/>
      </w:pPr>
      <w:r w:rsidDel="00000000" w:rsidR="00000000" w:rsidRPr="00000000">
        <w:rPr>
          <w:rFonts w:ascii="Nova Mono" w:cs="Nova Mono" w:eastAsia="Nova Mono" w:hAnsi="Nova Mono"/>
          <w:sz w:val="24"/>
          <w:szCs w:val="24"/>
          <w:rtl w:val="0"/>
        </w:rPr>
        <w:t xml:space="preserve">Artikel ini diterbitkan di bawah </w:t>
      </w:r>
      <w:hyperlink r:id="rId18">
        <w:r w:rsidDel="00000000" w:rsidR="00000000" w:rsidRPr="00000000">
          <w:rPr>
            <w:rFonts w:ascii="Nova Mono" w:cs="Nova Mono" w:eastAsia="Nova Mono" w:hAnsi="Nova Mono"/>
            <w:color w:val="0563c1"/>
            <w:sz w:val="24"/>
            <w:szCs w:val="24"/>
            <w:u w:val="single"/>
            <w:rtl w:val="0"/>
          </w:rPr>
          <w:t xml:space="preserve">Creative Commons</w:t>
        </w:r>
      </w:hyperlink>
      <w:r w:rsidDel="00000000" w:rsidR="00000000" w:rsidRPr="00000000">
        <w:rPr>
          <w:rFonts w:ascii="Nova Mono" w:cs="Nova Mono" w:eastAsia="Nova Mono" w:hAnsi="Nova Mono"/>
          <w:sz w:val="24"/>
          <w:szCs w:val="24"/>
          <w:rtl w:val="0"/>
        </w:rPr>
        <w:t xml:space="preserve"> oleh </w:t>
      </w:r>
      <w:hyperlink r:id="rId19">
        <w:r w:rsidDel="00000000" w:rsidR="00000000" w:rsidRPr="00000000">
          <w:rPr>
            <w:rFonts w:ascii="Nova Mono" w:cs="Nova Mono" w:eastAsia="Nova Mono" w:hAnsi="Nova Mono"/>
            <w:color w:val="0563c1"/>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o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Condense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abc.net.au/news/2019-12-03/australia-education-results-maths-reading-science-getting-worse/11760880" TargetMode="External"/><Relationship Id="rId10" Type="http://schemas.openxmlformats.org/officeDocument/2006/relationships/hyperlink" Target="https://elpais.com/sociedad/2019/12/03/actualidad/1575328003_039914.html" TargetMode="External"/><Relationship Id="rId13" Type="http://schemas.openxmlformats.org/officeDocument/2006/relationships/hyperlink" Target="https://www.oecd.org/pisa/innovation/global-competence/" TargetMode="External"/><Relationship Id="rId12" Type="http://schemas.openxmlformats.org/officeDocument/2006/relationships/hyperlink" Target="https://www.routledge.com/UNESCOs-Utopia-of-Lifelong-Learning-An-Intellectual-History/Elfert/p/book/97803678860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ecd.org/pisa/" TargetMode="External"/><Relationship Id="rId15" Type="http://schemas.openxmlformats.org/officeDocument/2006/relationships/hyperlink" Target="https://www.tandfonline.com/doi/abs/10.1080/02680939.2019.1576923?scroll=top&amp;needAccess=true&amp;journalCode=tedp20" TargetMode="External"/><Relationship Id="rId14" Type="http://schemas.openxmlformats.org/officeDocument/2006/relationships/hyperlink" Target="https://journals.sagepub.com/doi/abs/10.1177/1478210318819246?journalCode=pfea" TargetMode="External"/><Relationship Id="rId17" Type="http://schemas.openxmlformats.org/officeDocument/2006/relationships/hyperlink" Target="https://unesdoc.unesco.org/ark:/48223/pf0000379707" TargetMode="External"/><Relationship Id="rId16" Type="http://schemas.openxmlformats.org/officeDocument/2006/relationships/hyperlink" Target="https://unesdoc.unesco.org/ark:/48223/pf0000379707" TargetMode="External"/><Relationship Id="rId5" Type="http://schemas.openxmlformats.org/officeDocument/2006/relationships/styles" Target="styles.xml"/><Relationship Id="rId19" Type="http://schemas.openxmlformats.org/officeDocument/2006/relationships/hyperlink" Target="https://360info.org/" TargetMode="External"/><Relationship Id="rId6" Type="http://schemas.openxmlformats.org/officeDocument/2006/relationships/hyperlink" Target="https://en.unesco.org/futuresofeducation/" TargetMode="External"/><Relationship Id="rId18" Type="http://schemas.openxmlformats.org/officeDocument/2006/relationships/hyperlink" Target="https://creativecommons.org/licenses/by/4.0/" TargetMode="External"/><Relationship Id="rId7" Type="http://schemas.openxmlformats.org/officeDocument/2006/relationships/hyperlink" Target="https://www.tandfonline.com/doi/abs/10.1080/02680939.2013.779791" TargetMode="External"/><Relationship Id="rId8" Type="http://schemas.openxmlformats.org/officeDocument/2006/relationships/hyperlink" Target="https://www.oecd.org/education/policy-outloo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ora-regular.ttf"/><Relationship Id="rId2" Type="http://schemas.openxmlformats.org/officeDocument/2006/relationships/font" Target="fonts/Lora-bold.ttf"/><Relationship Id="rId3" Type="http://schemas.openxmlformats.org/officeDocument/2006/relationships/font" Target="fonts/Lora-italic.ttf"/><Relationship Id="rId4" Type="http://schemas.openxmlformats.org/officeDocument/2006/relationships/font" Target="fonts/Lora-boldItalic.ttf"/><Relationship Id="rId9" Type="http://schemas.openxmlformats.org/officeDocument/2006/relationships/font" Target="fonts/NovaMono-regular.ttf"/><Relationship Id="rId5" Type="http://schemas.openxmlformats.org/officeDocument/2006/relationships/font" Target="fonts/RobotoCondensed-regular.ttf"/><Relationship Id="rId6" Type="http://schemas.openxmlformats.org/officeDocument/2006/relationships/font" Target="fonts/RobotoCondensed-bold.ttf"/><Relationship Id="rId7" Type="http://schemas.openxmlformats.org/officeDocument/2006/relationships/font" Target="fonts/RobotoCondensed-italic.ttf"/><Relationship Id="rId8" Type="http://schemas.openxmlformats.org/officeDocument/2006/relationships/font" Target="fonts/RobotoCondense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